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3F6C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  <w:r>
        <w:rPr>
          <w:rFonts w:ascii="Calibri" w:hAnsi="Calibri"/>
          <w:color w:val="000000"/>
          <w:sz w:val="2"/>
          <w:szCs w:val="2"/>
        </w:rPr>
        <w:t>f</w:t>
      </w:r>
    </w:p>
    <w:p w14:paraId="39B5FAC3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1561CD3B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640B015C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1A5AB042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2428A460" w14:textId="77777777" w:rsidR="0093691D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4636CCE5" w14:textId="77777777" w:rsidR="0093691D" w:rsidRPr="004508C1" w:rsidRDefault="0093691D" w:rsidP="0093691D">
      <w:pPr>
        <w:jc w:val="both"/>
        <w:rPr>
          <w:rFonts w:ascii="Calibri" w:hAnsi="Calibri"/>
          <w:color w:val="000000"/>
          <w:sz w:val="2"/>
          <w:szCs w:val="2"/>
        </w:rPr>
      </w:pPr>
    </w:p>
    <w:p w14:paraId="3F5F34C0" w14:textId="4D523921" w:rsidR="0093691D" w:rsidRPr="00E777FF" w:rsidRDefault="00B7213B" w:rsidP="003B514D">
      <w:pPr>
        <w:ind w:left="-851"/>
        <w:rPr>
          <w:rFonts w:asciiTheme="minorHAnsi" w:hAnsiTheme="minorHAnsi" w:cstheme="minorHAnsi"/>
          <w:color w:val="808080"/>
          <w:sz w:val="56"/>
          <w:szCs w:val="56"/>
        </w:rPr>
      </w:pPr>
      <w:r w:rsidRPr="00E777FF">
        <w:rPr>
          <w:rFonts w:asciiTheme="minorHAnsi" w:hAnsiTheme="minorHAnsi" w:cstheme="minorHAnsi"/>
          <w:color w:val="808080"/>
          <w:sz w:val="56"/>
          <w:szCs w:val="56"/>
        </w:rPr>
        <w:t>202</w:t>
      </w:r>
      <w:r w:rsidR="006F1A0F">
        <w:rPr>
          <w:rFonts w:asciiTheme="minorHAnsi" w:hAnsiTheme="minorHAnsi" w:cstheme="minorHAnsi"/>
          <w:color w:val="808080"/>
          <w:sz w:val="56"/>
          <w:szCs w:val="56"/>
        </w:rPr>
        <w:t>3</w:t>
      </w:r>
      <w:r w:rsidRPr="00E777FF">
        <w:rPr>
          <w:rFonts w:asciiTheme="minorHAnsi" w:hAnsiTheme="minorHAnsi" w:cstheme="minorHAnsi"/>
          <w:color w:val="808080"/>
          <w:sz w:val="56"/>
          <w:szCs w:val="56"/>
        </w:rPr>
        <w:t xml:space="preserve"> Annual Conference</w:t>
      </w:r>
    </w:p>
    <w:p w14:paraId="42776F22" w14:textId="1C53F34E" w:rsidR="0093691D" w:rsidRPr="00E777FF" w:rsidRDefault="00B7213B" w:rsidP="003B514D">
      <w:pPr>
        <w:ind w:left="-851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777FF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Meeting briefing document</w:t>
      </w:r>
    </w:p>
    <w:p w14:paraId="7AEF4CD4" w14:textId="77777777" w:rsidR="0093691D" w:rsidRPr="00E777FF" w:rsidRDefault="0093691D" w:rsidP="0093691D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636D48" w14:textId="77777777" w:rsidR="0093691D" w:rsidRPr="00E777FF" w:rsidRDefault="0093691D" w:rsidP="0093691D">
      <w:pPr>
        <w:jc w:val="center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tbl>
      <w:tblPr>
        <w:tblW w:w="93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  <w:gridCol w:w="5631"/>
      </w:tblGrid>
      <w:tr w:rsidR="0093691D" w:rsidRPr="00E777FF" w14:paraId="1E2229CA" w14:textId="77777777" w:rsidTr="003B514D">
        <w:tc>
          <w:tcPr>
            <w:tcW w:w="3720" w:type="dxa"/>
            <w:shd w:val="clear" w:color="auto" w:fill="F2F2F2"/>
          </w:tcPr>
          <w:p w14:paraId="3D385257" w14:textId="3D54036A" w:rsidR="0093691D" w:rsidRPr="00E777FF" w:rsidRDefault="00663063" w:rsidP="0071445C">
            <w:pPr>
              <w:pStyle w:val="BodyTex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5631" w:type="dxa"/>
          </w:tcPr>
          <w:p w14:paraId="34BBA7D3" w14:textId="7D86DBFC" w:rsidR="0093691D" w:rsidRPr="00E777FF" w:rsidRDefault="00462BB9" w:rsidP="00774761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15/11/23</w:t>
            </w:r>
          </w:p>
        </w:tc>
      </w:tr>
      <w:tr w:rsidR="0093691D" w:rsidRPr="00E777FF" w14:paraId="34394CCC" w14:textId="77777777" w:rsidTr="003B514D">
        <w:tc>
          <w:tcPr>
            <w:tcW w:w="3720" w:type="dxa"/>
            <w:shd w:val="clear" w:color="auto" w:fill="F2F2F2"/>
          </w:tcPr>
          <w:p w14:paraId="52F32F9E" w14:textId="2087C52C" w:rsidR="0093691D" w:rsidRPr="00E777FF" w:rsidRDefault="00663063" w:rsidP="00663063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MEETING TITLE</w:t>
            </w:r>
          </w:p>
          <w:p w14:paraId="5676AE18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2201A590" w14:textId="3B1072D7" w:rsidR="0093691D" w:rsidRPr="00E777FF" w:rsidRDefault="00462BB9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 xml:space="preserve">Our Inclusive Sport Brought to you by the Women’s Forum </w:t>
            </w:r>
          </w:p>
        </w:tc>
      </w:tr>
      <w:tr w:rsidR="00E777FF" w:rsidRPr="00E777FF" w14:paraId="55544D67" w14:textId="77777777" w:rsidTr="003B514D">
        <w:tc>
          <w:tcPr>
            <w:tcW w:w="3720" w:type="dxa"/>
            <w:shd w:val="clear" w:color="auto" w:fill="F2F2F2"/>
          </w:tcPr>
          <w:p w14:paraId="742EA2D3" w14:textId="77777777" w:rsidR="00E777FF" w:rsidRPr="00E777FF" w:rsidRDefault="00E777FF" w:rsidP="00663063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CHAIRPERSON NAME AND TITLE</w:t>
            </w:r>
          </w:p>
          <w:p w14:paraId="46CC7DE6" w14:textId="471B0F81" w:rsidR="00E777FF" w:rsidRPr="00E777FF" w:rsidRDefault="00E777FF" w:rsidP="00663063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2E06C8DB" w14:textId="28133D8D" w:rsidR="00E777FF" w:rsidRPr="00E777FF" w:rsidRDefault="00462BB9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/>
              </w:rPr>
              <w:t xml:space="preserve">Elena </w:t>
            </w:r>
            <w:proofErr w:type="spellStart"/>
            <w:r w:rsidR="00DB2C01" w:rsidRPr="00DB2C0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Papazoglou</w:t>
            </w:r>
            <w:proofErr w:type="spellEnd"/>
            <w:r w:rsidR="00DB2C0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, Chair of the Women’s Forum </w:t>
            </w:r>
          </w:p>
        </w:tc>
      </w:tr>
      <w:tr w:rsidR="0093691D" w:rsidRPr="00E777FF" w14:paraId="21FDA809" w14:textId="77777777" w:rsidTr="003B514D">
        <w:tc>
          <w:tcPr>
            <w:tcW w:w="3720" w:type="dxa"/>
            <w:shd w:val="clear" w:color="auto" w:fill="F2F2F2"/>
          </w:tcPr>
          <w:p w14:paraId="1543EC87" w14:textId="5AF8C36E" w:rsidR="0093691D" w:rsidRPr="00E777FF" w:rsidRDefault="00663063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KEY DECISIONS</w:t>
            </w:r>
          </w:p>
          <w:p w14:paraId="69D5B648" w14:textId="0E33122E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what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when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where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why</w:t>
            </w:r>
            <w:r w:rsidR="00663063"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how]</w:t>
            </w:r>
          </w:p>
          <w:p w14:paraId="46BECDAF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50D95EC1" w14:textId="1A9D9F21" w:rsidR="0093691D" w:rsidRDefault="002E2B2C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  <w:t xml:space="preserve">More presentations and updates rather than decisions but decided to defer the 109 submission until the MYM post the </w:t>
            </w:r>
            <w:proofErr w:type="gramStart"/>
            <w:r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  <w:t>WS  transgender</w:t>
            </w:r>
            <w:proofErr w:type="gramEnd"/>
            <w:r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  <w:t xml:space="preserve"> policy release. </w:t>
            </w:r>
          </w:p>
          <w:p w14:paraId="475B96E5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08CF39E0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4ADF4F35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208D6334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4A8866C0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7AD4B96B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484733C1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08B72F00" w14:textId="77777777" w:rsidR="003B514D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20E59123" w14:textId="6E994349" w:rsidR="003B514D" w:rsidRPr="00E777FF" w:rsidRDefault="003B514D" w:rsidP="004F0C4C">
            <w:pPr>
              <w:pStyle w:val="NoSpacing"/>
              <w:jc w:val="both"/>
              <w:rPr>
                <w:rFonts w:asciiTheme="minorHAnsi" w:eastAsia="ヒラギノ角ゴ Pro W3" w:hAnsiTheme="minorHAnsi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93691D" w:rsidRPr="00E777FF" w14:paraId="19812855" w14:textId="77777777" w:rsidTr="003B514D">
        <w:tc>
          <w:tcPr>
            <w:tcW w:w="3720" w:type="dxa"/>
            <w:shd w:val="clear" w:color="auto" w:fill="F2F2F2"/>
          </w:tcPr>
          <w:p w14:paraId="76C616C3" w14:textId="77777777" w:rsidR="00E777FF" w:rsidRPr="00E777FF" w:rsidRDefault="00E777FF" w:rsidP="00E777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KEY DECISIONS</w:t>
            </w:r>
          </w:p>
          <w:p w14:paraId="286429EE" w14:textId="77777777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[who, what, when, where, why, how]</w:t>
            </w:r>
          </w:p>
          <w:p w14:paraId="2B0F977C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2AA3D3C7" w14:textId="3A461B65" w:rsidR="0093691D" w:rsidRDefault="00856643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Discussions around </w:t>
            </w:r>
            <w:r w:rsidR="00A8392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WS relevant Agenda 2030 targets updates, 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safeguarding policy, transgender policy, WST research projects, </w:t>
            </w:r>
            <w:r w:rsidR="004B685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the new para committee inclusion strategy</w:t>
            </w:r>
            <w:r w:rsidR="00A8392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, steering the course progress report 2023. </w:t>
            </w:r>
          </w:p>
          <w:p w14:paraId="27B625B8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36754AD3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1FE81274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3ED26980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36395036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21A96A81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1033423F" w14:textId="4FC708CC" w:rsidR="003B514D" w:rsidRPr="00E777FF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298AFF88" w14:textId="77777777" w:rsidTr="003B514D">
        <w:tc>
          <w:tcPr>
            <w:tcW w:w="3720" w:type="dxa"/>
            <w:shd w:val="clear" w:color="auto" w:fill="F2F2F2"/>
          </w:tcPr>
          <w:p w14:paraId="25A9694D" w14:textId="77777777" w:rsidR="00E777FF" w:rsidRPr="00E777FF" w:rsidRDefault="00E777FF" w:rsidP="00E777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KEY DECISIONS</w:t>
            </w:r>
          </w:p>
          <w:p w14:paraId="6F3980A4" w14:textId="77777777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[who, what, when, where, why, how]</w:t>
            </w:r>
          </w:p>
          <w:p w14:paraId="4EB82662" w14:textId="77777777" w:rsidR="0093691D" w:rsidRPr="00E777FF" w:rsidRDefault="0093691D" w:rsidP="007144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1" w:type="dxa"/>
          </w:tcPr>
          <w:p w14:paraId="3C8CF78F" w14:textId="2086C76B" w:rsidR="0093691D" w:rsidRDefault="00A83926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Winds of Change presentation by Sofia </w:t>
            </w:r>
            <w:proofErr w:type="spellStart"/>
            <w:r w:rsidR="0013031A" w:rsidRPr="0013031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Papamichalopoulos</w:t>
            </w:r>
            <w:proofErr w:type="spellEnd"/>
            <w:r w:rsidR="0013031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utilizing the power of inclusive sailing to promote social change. </w:t>
            </w:r>
            <w:proofErr w:type="gramStart"/>
            <w:r w:rsidR="00EB0C4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Specifically</w:t>
            </w:r>
            <w:proofErr w:type="gramEnd"/>
            <w:r w:rsidR="00EB0C4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between the Greek and Turkish </w:t>
            </w:r>
            <w:proofErr w:type="spellStart"/>
            <w:r w:rsidR="00EB0C4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cyrpiot</w:t>
            </w:r>
            <w:proofErr w:type="spellEnd"/>
            <w:r w:rsidR="00EB0C4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communities. To show the documentary </w:t>
            </w:r>
            <w:r w:rsidR="00B56CF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of the project at next year’s WS annual conference. </w:t>
            </w:r>
          </w:p>
          <w:p w14:paraId="703DD311" w14:textId="77777777" w:rsidR="003B514D" w:rsidRDefault="003B514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C7CB45E" w14:textId="77777777" w:rsidR="003B514D" w:rsidRDefault="003B514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7F0EF98C" w14:textId="77777777" w:rsidR="003B514D" w:rsidRDefault="003B514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17AA99DF" w14:textId="77777777" w:rsidR="003B514D" w:rsidRDefault="003B514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051B72FA" w14:textId="77777777" w:rsidR="003B514D" w:rsidRDefault="003B514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451298F3" w14:textId="77777777" w:rsidR="003B514D" w:rsidRDefault="003B514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09A567C7" w14:textId="0916A708" w:rsidR="003B514D" w:rsidRPr="00E777FF" w:rsidRDefault="003B514D" w:rsidP="0093691D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3D6503F4" w14:textId="77777777" w:rsidTr="003B514D">
        <w:tc>
          <w:tcPr>
            <w:tcW w:w="3720" w:type="dxa"/>
            <w:shd w:val="clear" w:color="auto" w:fill="F2F2F2"/>
          </w:tcPr>
          <w:p w14:paraId="0C091356" w14:textId="77777777" w:rsidR="00E777FF" w:rsidRPr="00E777FF" w:rsidRDefault="00E777FF" w:rsidP="00E777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KEY DECISIONS</w:t>
            </w:r>
          </w:p>
          <w:p w14:paraId="5337722E" w14:textId="77777777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[who, what, when, where, why, how]</w:t>
            </w:r>
          </w:p>
          <w:p w14:paraId="6A168F64" w14:textId="77777777" w:rsidR="0093691D" w:rsidRPr="00E777FF" w:rsidRDefault="0093691D" w:rsidP="0071445C">
            <w:pPr>
              <w:pStyle w:val="Heading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76F4D214" w14:textId="321729F0" w:rsidR="0093691D" w:rsidRDefault="00914055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To </w:t>
            </w:r>
            <w:r w:rsidR="005B55C6">
              <w:rPr>
                <w:rFonts w:asciiTheme="minorHAnsi" w:hAnsiTheme="minorHAnsi" w:cstheme="minorHAnsi"/>
                <w:sz w:val="28"/>
                <w:szCs w:val="28"/>
              </w:rPr>
              <w:t>create a working party for the terms of reference of the transition of the women</w:t>
            </w:r>
            <w:r w:rsidR="00BC64FD">
              <w:rPr>
                <w:rFonts w:asciiTheme="minorHAnsi" w:hAnsiTheme="minorHAnsi" w:cstheme="minorHAnsi"/>
                <w:sz w:val="28"/>
                <w:szCs w:val="28"/>
              </w:rPr>
              <w:t>’</w:t>
            </w:r>
            <w:r w:rsidR="005B55C6">
              <w:rPr>
                <w:rFonts w:asciiTheme="minorHAnsi" w:hAnsiTheme="minorHAnsi" w:cstheme="minorHAnsi"/>
                <w:sz w:val="28"/>
                <w:szCs w:val="28"/>
              </w:rPr>
              <w:t>s forum to the EDI forum</w:t>
            </w:r>
            <w:r w:rsidR="00BC64FD">
              <w:rPr>
                <w:rFonts w:asciiTheme="minorHAnsi" w:hAnsiTheme="minorHAnsi" w:cstheme="minorHAnsi"/>
                <w:sz w:val="28"/>
                <w:szCs w:val="28"/>
              </w:rPr>
              <w:t xml:space="preserve">. The terms of reference will be agreed with the timeline end of the MYM may 2024. </w:t>
            </w:r>
          </w:p>
          <w:p w14:paraId="1F67FC3F" w14:textId="77777777" w:rsidR="003B514D" w:rsidRDefault="003B514D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D095324" w14:textId="77777777" w:rsidR="003B514D" w:rsidRDefault="003B514D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E1722A7" w14:textId="77777777" w:rsidR="003B514D" w:rsidRDefault="003B514D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7C87185" w14:textId="77777777" w:rsidR="003B514D" w:rsidRDefault="003B514D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19D2F2" w14:textId="77777777" w:rsidR="003B514D" w:rsidRDefault="003B514D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704F4D4" w14:textId="77777777" w:rsidR="003B514D" w:rsidRDefault="003B514D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E87DE38" w14:textId="32BE3BB2" w:rsidR="003B514D" w:rsidRPr="00E777FF" w:rsidRDefault="003B514D" w:rsidP="0077476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3691D" w:rsidRPr="00E777FF" w14:paraId="42476037" w14:textId="77777777" w:rsidTr="003B514D">
        <w:tc>
          <w:tcPr>
            <w:tcW w:w="3720" w:type="dxa"/>
            <w:shd w:val="clear" w:color="auto" w:fill="F2F2F2"/>
          </w:tcPr>
          <w:p w14:paraId="675579FC" w14:textId="6ABD47F3" w:rsidR="0093691D" w:rsidRPr="00E777FF" w:rsidRDefault="00E777FF" w:rsidP="0071445C">
            <w:pPr>
              <w:pStyle w:val="Heading2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FURTHER VOTING?</w:t>
            </w:r>
          </w:p>
          <w:p w14:paraId="1E3014F0" w14:textId="2EFD37CF" w:rsidR="00E777FF" w:rsidRPr="00E777FF" w:rsidRDefault="00E777FF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[Council, AGM, Working Party]</w:t>
            </w:r>
          </w:p>
          <w:p w14:paraId="7A7E2152" w14:textId="77777777" w:rsidR="00E777FF" w:rsidRPr="00E777FF" w:rsidRDefault="00E777FF" w:rsidP="00E777FF">
            <w:pPr>
              <w:rPr>
                <w:rFonts w:asciiTheme="minorHAnsi" w:hAnsiTheme="minorHAnsi" w:cstheme="minorHAnsi"/>
              </w:rPr>
            </w:pPr>
          </w:p>
          <w:p w14:paraId="06D2A863" w14:textId="77777777" w:rsidR="0093691D" w:rsidRPr="00E777FF" w:rsidRDefault="0093691D" w:rsidP="00E777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5A9286B9" w14:textId="7A2DBA37" w:rsidR="00D11597" w:rsidRPr="00E777FF" w:rsidRDefault="00F83EA1" w:rsidP="00E777FF">
            <w:pPr>
              <w:pStyle w:val="ListParagraph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Council will vote on safeguarding policy on Saturday </w:t>
            </w:r>
          </w:p>
        </w:tc>
      </w:tr>
      <w:tr w:rsidR="0093691D" w:rsidRPr="00E777FF" w14:paraId="299528CC" w14:textId="77777777" w:rsidTr="003B514D">
        <w:tc>
          <w:tcPr>
            <w:tcW w:w="3720" w:type="dxa"/>
            <w:shd w:val="clear" w:color="auto" w:fill="F2F2F2"/>
          </w:tcPr>
          <w:p w14:paraId="3E9079B6" w14:textId="6E572C99" w:rsidR="0093691D" w:rsidRPr="00E777FF" w:rsidRDefault="003B514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SENSITIVITIES OR</w:t>
            </w:r>
            <w:r w:rsidR="0093691D" w:rsidRPr="00E777F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  <w:p w14:paraId="4799FE7A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SPECIAL CONSIDERATIONS</w:t>
            </w:r>
          </w:p>
          <w:p w14:paraId="79C47378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[if any]</w:t>
            </w:r>
          </w:p>
          <w:p w14:paraId="008ECB0B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100FA2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0347AE4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85B5547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11BED325" w14:textId="77777777" w:rsidR="0093691D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72011B1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27121074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4E2EE5F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4D850E6F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5EC8B4E5" w14:textId="77777777" w:rsidR="003B514D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42E36B38" w14:textId="04878A13" w:rsidR="003B514D" w:rsidRPr="00E777FF" w:rsidRDefault="003B514D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569B4A50" w14:textId="77777777" w:rsidTr="003B514D">
        <w:tc>
          <w:tcPr>
            <w:tcW w:w="3720" w:type="dxa"/>
            <w:shd w:val="clear" w:color="auto" w:fill="F2F2F2"/>
          </w:tcPr>
          <w:p w14:paraId="5A4AF1B3" w14:textId="77777777" w:rsidR="0093691D" w:rsidRPr="00E777FF" w:rsidRDefault="0093691D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 xml:space="preserve">ADDITIONAL INFORMATION </w:t>
            </w:r>
          </w:p>
          <w:p w14:paraId="082746D5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7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[if available]</w:t>
            </w:r>
          </w:p>
          <w:p w14:paraId="65D514F2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917144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B30003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1469C8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82AC657" w14:textId="77777777" w:rsidR="0093691D" w:rsidRPr="00E777FF" w:rsidRDefault="0093691D" w:rsidP="0071445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p w14:paraId="63701085" w14:textId="77777777" w:rsidR="0093691D" w:rsidRDefault="0093691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159CE3FF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338D2D28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03AD5FD8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D842327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643E0565" w14:textId="77777777" w:rsidR="003B514D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14:paraId="7C07E9A5" w14:textId="01458CFA" w:rsidR="003B514D" w:rsidRPr="00E777FF" w:rsidRDefault="003B514D" w:rsidP="00E777FF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93691D" w:rsidRPr="00E777FF" w14:paraId="34291891" w14:textId="77777777" w:rsidTr="003B514D">
        <w:tc>
          <w:tcPr>
            <w:tcW w:w="3720" w:type="dxa"/>
            <w:shd w:val="clear" w:color="auto" w:fill="F2F2F2"/>
          </w:tcPr>
          <w:p w14:paraId="6B4B7EBD" w14:textId="77777777" w:rsidR="0093691D" w:rsidRPr="00E777FF" w:rsidRDefault="00E777FF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E777FF">
              <w:rPr>
                <w:rFonts w:asciiTheme="minorHAnsi" w:hAnsiTheme="minorHAnsi" w:cstheme="minorHAnsi"/>
                <w:sz w:val="28"/>
                <w:szCs w:val="28"/>
              </w:rPr>
              <w:t>DRAFT TO BE SIGNED OFF BY:</w:t>
            </w:r>
          </w:p>
          <w:p w14:paraId="2D70C2D2" w14:textId="16C6FFAE" w:rsidR="00E777FF" w:rsidRPr="00E777FF" w:rsidRDefault="00E777FF" w:rsidP="0071445C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31" w:type="dxa"/>
          </w:tcPr>
          <w:p w14:paraId="59EEAB29" w14:textId="22188AFC" w:rsidR="0093691D" w:rsidRPr="00E777FF" w:rsidRDefault="0051457F" w:rsidP="0071445C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Alexandra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Rickham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8981247" w14:textId="77777777" w:rsidR="009B4D74" w:rsidRDefault="009B4D74"/>
    <w:sectPr w:rsidR="009B4D74" w:rsidSect="00663063">
      <w:headerReference w:type="default" r:id="rId10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0EA8" w14:textId="77777777" w:rsidR="000408C3" w:rsidRDefault="000408C3">
      <w:r>
        <w:separator/>
      </w:r>
    </w:p>
  </w:endnote>
  <w:endnote w:type="continuationSeparator" w:id="0">
    <w:p w14:paraId="7DBD361D" w14:textId="77777777" w:rsidR="000408C3" w:rsidRDefault="0004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7077" w14:textId="77777777" w:rsidR="000408C3" w:rsidRDefault="000408C3">
      <w:r>
        <w:separator/>
      </w:r>
    </w:p>
  </w:footnote>
  <w:footnote w:type="continuationSeparator" w:id="0">
    <w:p w14:paraId="4927424C" w14:textId="77777777" w:rsidR="000408C3" w:rsidRDefault="0004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0120" w14:textId="7452FD90" w:rsidR="004D10CD" w:rsidRDefault="004D10CD" w:rsidP="00D428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EEE"/>
    <w:multiLevelType w:val="hybridMultilevel"/>
    <w:tmpl w:val="CBD437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131F2"/>
    <w:multiLevelType w:val="hybridMultilevel"/>
    <w:tmpl w:val="A422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523B7"/>
    <w:multiLevelType w:val="hybridMultilevel"/>
    <w:tmpl w:val="DC70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363C7"/>
    <w:multiLevelType w:val="hybridMultilevel"/>
    <w:tmpl w:val="33A2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6067">
    <w:abstractNumId w:val="1"/>
  </w:num>
  <w:num w:numId="2" w16cid:durableId="993071579">
    <w:abstractNumId w:val="2"/>
  </w:num>
  <w:num w:numId="3" w16cid:durableId="1992709771">
    <w:abstractNumId w:val="3"/>
  </w:num>
  <w:num w:numId="4" w16cid:durableId="41925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1D"/>
    <w:rsid w:val="00027C49"/>
    <w:rsid w:val="000408C3"/>
    <w:rsid w:val="000831B7"/>
    <w:rsid w:val="00091E0D"/>
    <w:rsid w:val="000B5FE2"/>
    <w:rsid w:val="00126B98"/>
    <w:rsid w:val="0013031A"/>
    <w:rsid w:val="002438E9"/>
    <w:rsid w:val="002B3FFE"/>
    <w:rsid w:val="002E2B2C"/>
    <w:rsid w:val="00307469"/>
    <w:rsid w:val="00355FC8"/>
    <w:rsid w:val="003A3311"/>
    <w:rsid w:val="003B514D"/>
    <w:rsid w:val="00462BB9"/>
    <w:rsid w:val="004B6859"/>
    <w:rsid w:val="004D10CD"/>
    <w:rsid w:val="004F0C4C"/>
    <w:rsid w:val="0051457F"/>
    <w:rsid w:val="005325EE"/>
    <w:rsid w:val="005925E8"/>
    <w:rsid w:val="005B55C6"/>
    <w:rsid w:val="00603849"/>
    <w:rsid w:val="006506D9"/>
    <w:rsid w:val="00654D31"/>
    <w:rsid w:val="00663063"/>
    <w:rsid w:val="006F1A0F"/>
    <w:rsid w:val="00774761"/>
    <w:rsid w:val="007F2B86"/>
    <w:rsid w:val="00844516"/>
    <w:rsid w:val="00856643"/>
    <w:rsid w:val="008E100F"/>
    <w:rsid w:val="00914055"/>
    <w:rsid w:val="009352FF"/>
    <w:rsid w:val="0093691D"/>
    <w:rsid w:val="009B4596"/>
    <w:rsid w:val="009B4D74"/>
    <w:rsid w:val="00A83576"/>
    <w:rsid w:val="00A83926"/>
    <w:rsid w:val="00B131A3"/>
    <w:rsid w:val="00B24282"/>
    <w:rsid w:val="00B56CF7"/>
    <w:rsid w:val="00B616F7"/>
    <w:rsid w:val="00B7213B"/>
    <w:rsid w:val="00B90644"/>
    <w:rsid w:val="00BC64FD"/>
    <w:rsid w:val="00C26160"/>
    <w:rsid w:val="00D11597"/>
    <w:rsid w:val="00DB2C01"/>
    <w:rsid w:val="00DF394D"/>
    <w:rsid w:val="00E777FF"/>
    <w:rsid w:val="00EB0C4C"/>
    <w:rsid w:val="00F206AA"/>
    <w:rsid w:val="00F30A7B"/>
    <w:rsid w:val="00F83EA1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B34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3691D"/>
    <w:pPr>
      <w:keepNext/>
      <w:jc w:val="both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691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3691D"/>
    <w:pPr>
      <w:jc w:val="both"/>
    </w:pPr>
    <w:rPr>
      <w:b/>
      <w:bCs/>
      <w:color w:val="000000"/>
    </w:rPr>
  </w:style>
  <w:style w:type="character" w:customStyle="1" w:styleId="BodyTextChar">
    <w:name w:val="Body Text Char"/>
    <w:basedOn w:val="DefaultParagraphFont"/>
    <w:link w:val="BodyText"/>
    <w:rsid w:val="0093691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rsid w:val="009369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6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691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369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307469"/>
    <w:pPr>
      <w:spacing w:after="0" w:line="240" w:lineRule="auto"/>
    </w:pPr>
    <w:rPr>
      <w:rFonts w:ascii="Cambria" w:eastAsia="Cambria" w:hAnsi="Cambria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B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BA27FF7FB7841B1B71C6A48962A64" ma:contentTypeVersion="14" ma:contentTypeDescription="Create a new document." ma:contentTypeScope="" ma:versionID="f61fae47893078be4e28444b2048d848">
  <xsd:schema xmlns:xsd="http://www.w3.org/2001/XMLSchema" xmlns:xs="http://www.w3.org/2001/XMLSchema" xmlns:p="http://schemas.microsoft.com/office/2006/metadata/properties" xmlns:ns2="2bf7050b-b977-4bb1-8252-ac8e23e7875c" xmlns:ns3="0d25e402-d8d5-41cf-9b19-33de5dff405d" targetNamespace="http://schemas.microsoft.com/office/2006/metadata/properties" ma:root="true" ma:fieldsID="a263a7fd43b02cfe3b41235b2b17005b" ns2:_="" ns3:_="">
    <xsd:import namespace="2bf7050b-b977-4bb1-8252-ac8e23e7875c"/>
    <xsd:import namespace="0d25e402-d8d5-41cf-9b19-33de5dff4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7050b-b977-4bb1-8252-ac8e23e7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b3ec80-b493-4abe-9e56-dc1c5e8cd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5e402-d8d5-41cf-9b19-33de5dff40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2b90ce-d4d7-4716-8be0-c0ccb4b11508}" ma:internalName="TaxCatchAll" ma:showField="CatchAllData" ma:web="0d25e402-d8d5-41cf-9b19-33de5dff4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25e402-d8d5-41cf-9b19-33de5dff405d" xsi:nil="true"/>
    <lcf76f155ced4ddcb4097134ff3c332f xmlns="2bf7050b-b977-4bb1-8252-ac8e23e78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56C1E-FF16-413B-8B7D-7562EFC0A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A847C-A657-4157-AC11-48330F386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7050b-b977-4bb1-8252-ac8e23e7875c"/>
    <ds:schemaRef ds:uri="0d25e402-d8d5-41cf-9b19-33de5dff4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6F554-0137-43C1-99AE-103CA6CF734E}">
  <ds:schemaRefs>
    <ds:schemaRef ds:uri="http://schemas.microsoft.com/office/2006/metadata/properties"/>
    <ds:schemaRef ds:uri="http://schemas.microsoft.com/office/infopath/2007/PartnerControls"/>
    <ds:schemaRef ds:uri="0d25e402-d8d5-41cf-9b19-33de5dff405d"/>
    <ds:schemaRef ds:uri="2bf7050b-b977-4bb1-8252-ac8e23e78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Sailing</dc:creator>
  <cp:keywords/>
  <dc:description/>
  <cp:lastModifiedBy>Rebecca Videlo</cp:lastModifiedBy>
  <cp:revision>2</cp:revision>
  <dcterms:created xsi:type="dcterms:W3CDTF">2023-11-15T19:03:00Z</dcterms:created>
  <dcterms:modified xsi:type="dcterms:W3CDTF">2023-11-15T19:03:00Z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0x010100CE8BA27FF7FB7841B1B71C6A48962A64</vt:lpwstr>
  </property>
</Properties>
</file>